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spacing w:line="360" w:lineRule="auto"/>
        <w:jc w:val="center"/>
        <w:rPr>
          <w:rFonts w:ascii="Calibri" w:cs="Calibri" w:hAnsi="Calibri" w:eastAsia="Calibri"/>
          <w:b w:val="1"/>
          <w:bCs w:val="1"/>
          <w:sz w:val="28"/>
          <w:szCs w:val="28"/>
        </w:rPr>
      </w:pPr>
      <w:r>
        <w:rPr>
          <w:rFonts w:ascii="宋体" w:cs="宋体" w:hAnsi="宋体" w:eastAsia="宋体"/>
          <w:b w:val="1"/>
          <w:bCs w:val="1"/>
          <w:sz w:val="28"/>
          <w:szCs w:val="28"/>
          <w:rtl w:val="0"/>
          <w:lang w:val="zh-TW" w:eastAsia="zh-TW"/>
        </w:rPr>
        <w:t>电商体验店合作协议书</w:t>
      </w:r>
    </w:p>
    <w:p>
      <w:pPr>
        <w:pStyle w:val="Normal"/>
        <w:spacing w:line="360" w:lineRule="auto"/>
        <w:jc w:val="center"/>
        <w:rPr>
          <w:rFonts w:ascii="Calibri" w:cs="Calibri" w:hAnsi="Calibri" w:eastAsia="Calibri"/>
          <w:b w:val="1"/>
          <w:bCs w:val="1"/>
          <w:sz w:val="28"/>
          <w:szCs w:val="28"/>
        </w:rPr>
      </w:pPr>
    </w:p>
    <w:p>
      <w:pPr>
        <w:pStyle w:val="Normal"/>
        <w:spacing w:line="360" w:lineRule="auto"/>
        <w:ind w:firstLine="420"/>
        <w:rPr>
          <w:rFonts w:ascii="宋体" w:cs="宋体" w:hAnsi="宋体" w:eastAsia="宋体"/>
          <w:rtl w:val="0"/>
          <w:lang w:val="zh-TW" w:eastAsia="zh-TW"/>
        </w:rPr>
      </w:pPr>
      <w:r>
        <w:rPr>
          <w:rFonts w:ascii="宋体" w:cs="宋体" w:hAnsi="宋体" w:eastAsia="宋体"/>
          <w:rtl w:val="0"/>
          <w:lang w:val="zh-TW" w:eastAsia="zh-TW"/>
        </w:rPr>
        <w:t>甲、乙双方为共同开发市场，本着互利共赢、资源共享的原则，在平等自愿的基础上，依据国务院办公厅印发《关于促进跨境电子商务健康快速发展的指导意见》，就双方合作事宜达成以下条款，以资共同遵守：</w:t>
      </w:r>
    </w:p>
    <w:p>
      <w:pPr>
        <w:pStyle w:val="Normal"/>
        <w:spacing w:line="360" w:lineRule="auto"/>
        <w:ind w:firstLine="413"/>
        <w:outlineLvl w:val="0"/>
        <w:rPr>
          <w:rFonts w:ascii="Calibri" w:cs="Calibri" w:hAnsi="Calibri" w:eastAsia="Calibri"/>
          <w:b w:val="1"/>
          <w:bCs w:val="1"/>
        </w:rPr>
      </w:pPr>
      <w:r>
        <w:rPr>
          <w:rFonts w:ascii="宋体" w:cs="宋体" w:hAnsi="宋体" w:eastAsia="宋体"/>
          <w:b w:val="1"/>
          <w:bCs w:val="1"/>
          <w:rtl w:val="0"/>
          <w:lang w:val="zh-TW" w:eastAsia="zh-TW"/>
        </w:rPr>
        <w:t>第一条</w:t>
      </w:r>
      <w:r>
        <w:rPr>
          <w:rFonts w:ascii="Calibri" w:cs="Calibri" w:hAnsi="Calibri" w:eastAsia="Calibri"/>
          <w:b w:val="1"/>
          <w:bCs w:val="1"/>
          <w:rtl w:val="0"/>
          <w:lang w:val="en-US"/>
        </w:rPr>
        <w:t xml:space="preserve"> </w:t>
      </w:r>
      <w:r>
        <w:rPr>
          <w:rFonts w:ascii="宋体" w:cs="宋体" w:hAnsi="宋体" w:eastAsia="宋体"/>
          <w:b w:val="1"/>
          <w:bCs w:val="1"/>
          <w:rtl w:val="0"/>
          <w:lang w:val="zh-TW" w:eastAsia="zh-TW"/>
        </w:rPr>
        <w:t>合作内容</w:t>
      </w:r>
    </w:p>
    <w:p>
      <w:pPr>
        <w:pStyle w:val="List Paragraph"/>
        <w:numPr>
          <w:ilvl w:val="0"/>
          <w:numId w:val="3"/>
        </w:numPr>
        <w:tabs>
          <w:tab w:val="num" w:pos="360"/>
          <w:tab w:val="clear" w:pos="0"/>
        </w:tabs>
        <w:bidi w:val="0"/>
        <w:spacing w:line="360" w:lineRule="auto"/>
        <w:ind w:left="360" w:right="0" w:hanging="360"/>
        <w:jc w:val="both"/>
        <w:rPr>
          <w:rFonts w:ascii="Times" w:cs="Times" w:hAnsi="Times" w:eastAsia="Times"/>
          <w:position w:val="0"/>
          <w:rtl w:val="0"/>
          <w:lang w:val="zh-TW" w:eastAsia="zh-TW"/>
        </w:rPr>
      </w:pPr>
      <w:r>
        <w:rPr>
          <w:rFonts w:ascii="宋体" w:cs="宋体" w:hAnsi="宋体" w:eastAsia="宋体" w:hint="eastAsia"/>
          <w:rtl w:val="0"/>
          <w:lang w:val="en-US" w:eastAsia="zh-TW"/>
        </w:rPr>
        <w:t>甲乙双方共同合作在乙方全资或控股所属门店开展跨境电子商务平台实体门店体验和售后支持服务。</w:t>
      </w:r>
    </w:p>
    <w:p>
      <w:pPr>
        <w:pStyle w:val="List Paragraph"/>
        <w:numPr>
          <w:ilvl w:val="0"/>
          <w:numId w:val="3"/>
        </w:numPr>
        <w:tabs>
          <w:tab w:val="num" w:pos="360"/>
          <w:tab w:val="clear" w:pos="0"/>
        </w:tabs>
        <w:bidi w:val="0"/>
        <w:spacing w:line="360" w:lineRule="auto"/>
        <w:ind w:left="360" w:right="0" w:hanging="360"/>
        <w:jc w:val="both"/>
        <w:rPr>
          <w:rFonts w:ascii="Times" w:cs="Times" w:hAnsi="Times" w:eastAsia="Times"/>
          <w:position w:val="0"/>
          <w:rtl w:val="0"/>
          <w:lang w:val="zh-TW" w:eastAsia="zh-TW"/>
        </w:rPr>
      </w:pPr>
      <w:r>
        <w:rPr>
          <w:rFonts w:ascii="宋体" w:cs="宋体" w:hAnsi="宋体" w:eastAsia="宋体" w:hint="eastAsia"/>
          <w:rtl w:val="0"/>
          <w:lang w:val="en-US" w:eastAsia="zh-TW"/>
        </w:rPr>
        <w:t>消费者通过乙方的体验门店，以扫描乙方专有二维码或者直接输入网址登录乙方网上平台店铺的方式，在电子商务平台下单、购买甲方平台销售商品，实际购买和支付的现金总额，作为甲方向乙方服务返佣的基准金额，并且根据服务返佣比例，核算返佣金额。乙方服务返佣额金额等于服务返佣的基准金额乘以服务返佣比例。</w:t>
      </w:r>
    </w:p>
    <w:p>
      <w:pPr>
        <w:pStyle w:val="Normal"/>
        <w:spacing w:line="360" w:lineRule="auto"/>
        <w:ind w:firstLine="413"/>
        <w:outlineLvl w:val="0"/>
        <w:rPr>
          <w:rFonts w:ascii="Calibri" w:cs="Calibri" w:hAnsi="Calibri" w:eastAsia="Calibri"/>
          <w:b w:val="1"/>
          <w:bCs w:val="1"/>
        </w:rPr>
      </w:pPr>
      <w:r>
        <w:rPr>
          <w:rFonts w:ascii="宋体" w:cs="宋体" w:hAnsi="宋体" w:eastAsia="宋体"/>
          <w:b w:val="1"/>
          <w:bCs w:val="1"/>
          <w:rtl w:val="0"/>
          <w:lang w:val="zh-TW" w:eastAsia="zh-TW"/>
        </w:rPr>
        <w:t>第二条</w:t>
      </w:r>
      <w:r>
        <w:rPr>
          <w:rFonts w:ascii="Calibri" w:cs="Calibri" w:hAnsi="Calibri" w:eastAsia="Calibri"/>
          <w:b w:val="1"/>
          <w:bCs w:val="1"/>
          <w:rtl w:val="0"/>
          <w:lang w:val="en-US"/>
        </w:rPr>
        <w:t xml:space="preserve"> </w:t>
      </w:r>
      <w:r>
        <w:rPr>
          <w:rFonts w:ascii="宋体" w:cs="宋体" w:hAnsi="宋体" w:eastAsia="宋体"/>
          <w:b w:val="1"/>
          <w:bCs w:val="1"/>
          <w:rtl w:val="0"/>
          <w:lang w:val="zh-TW" w:eastAsia="zh-TW"/>
        </w:rPr>
        <w:t>合作期限</w:t>
      </w:r>
    </w:p>
    <w:p>
      <w:pPr>
        <w:pStyle w:val="Normal"/>
        <w:spacing w:line="360" w:lineRule="auto"/>
        <w:ind w:firstLine="420"/>
        <w:rPr>
          <w:rFonts w:ascii="宋体" w:cs="宋体" w:hAnsi="宋体" w:eastAsia="宋体"/>
          <w:rtl w:val="0"/>
          <w:lang w:val="zh-TW" w:eastAsia="zh-TW"/>
        </w:rPr>
      </w:pPr>
      <w:r>
        <w:rPr>
          <w:rFonts w:ascii="宋体" w:cs="宋体" w:hAnsi="宋体" w:eastAsia="宋体"/>
          <w:rtl w:val="0"/>
          <w:lang w:val="zh-TW" w:eastAsia="zh-TW"/>
        </w:rPr>
        <w:t>本合同有效期为</w:t>
      </w:r>
      <w:r>
        <w:rPr>
          <w:rFonts w:ascii="Trebuchet MS"/>
          <w:u w:val="single"/>
          <w:rtl w:val="0"/>
          <w:lang w:val="en-US"/>
        </w:rPr>
        <w:t>2</w:t>
      </w:r>
      <w:r>
        <w:rPr>
          <w:rFonts w:ascii="宋体" w:cs="宋体" w:hAnsi="宋体" w:eastAsia="宋体"/>
          <w:rtl w:val="0"/>
          <w:lang w:val="zh-TW" w:eastAsia="zh-TW"/>
        </w:rPr>
        <w:t>年，自乙方初始注册起自动生效。协议到期前</w:t>
      </w:r>
      <w:r>
        <w:rPr>
          <w:rFonts w:ascii="Trebuchet MS"/>
          <w:rtl w:val="0"/>
          <w:lang w:val="en-US"/>
        </w:rPr>
        <w:t>60</w:t>
      </w:r>
      <w:r>
        <w:rPr>
          <w:rFonts w:ascii="宋体" w:cs="宋体" w:hAnsi="宋体" w:eastAsia="宋体"/>
          <w:rtl w:val="0"/>
          <w:lang w:val="zh-TW" w:eastAsia="zh-TW"/>
        </w:rPr>
        <w:t>天，双方如果无异议，经乙方电商平台缴纳协议规定的费用后，自动延长本协议履行期限或履行条件。</w:t>
      </w:r>
    </w:p>
    <w:p>
      <w:pPr>
        <w:pStyle w:val="Normal"/>
        <w:spacing w:line="360" w:lineRule="auto"/>
        <w:ind w:firstLine="413"/>
        <w:outlineLvl w:val="0"/>
        <w:rPr>
          <w:rFonts w:ascii="Calibri" w:cs="Calibri" w:hAnsi="Calibri" w:eastAsia="Calibri"/>
          <w:b w:val="1"/>
          <w:bCs w:val="1"/>
        </w:rPr>
      </w:pPr>
      <w:r>
        <w:rPr>
          <w:rFonts w:ascii="宋体" w:cs="宋体" w:hAnsi="宋体" w:eastAsia="宋体"/>
          <w:b w:val="1"/>
          <w:bCs w:val="1"/>
          <w:rtl w:val="0"/>
          <w:lang w:val="zh-TW" w:eastAsia="zh-TW"/>
        </w:rPr>
        <w:t>第三条</w:t>
      </w:r>
      <w:r>
        <w:rPr>
          <w:rFonts w:ascii="Calibri" w:cs="Calibri" w:hAnsi="Calibri" w:eastAsia="Calibri"/>
          <w:b w:val="1"/>
          <w:bCs w:val="1"/>
          <w:rtl w:val="0"/>
          <w:lang w:val="en-US"/>
        </w:rPr>
        <w:t xml:space="preserve"> </w:t>
      </w:r>
      <w:r>
        <w:rPr>
          <w:rFonts w:ascii="宋体" w:cs="宋体" w:hAnsi="宋体" w:eastAsia="宋体"/>
          <w:b w:val="1"/>
          <w:bCs w:val="1"/>
          <w:rtl w:val="0"/>
          <w:lang w:val="zh-TW" w:eastAsia="zh-TW"/>
        </w:rPr>
        <w:t>甲方的权利与义务</w:t>
      </w:r>
    </w:p>
    <w:p>
      <w:pPr>
        <w:pStyle w:val="List Paragraph"/>
        <w:numPr>
          <w:ilvl w:val="0"/>
          <w:numId w:val="6"/>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甲方为乙方提供电子商务平台的应用、维护服务、物流服务、支付服务、政策咨询和平台使用培训等。</w:t>
      </w:r>
    </w:p>
    <w:p>
      <w:pPr>
        <w:pStyle w:val="List Paragraph"/>
        <w:numPr>
          <w:ilvl w:val="0"/>
          <w:numId w:val="6"/>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乙方在初始注册时，应向甲方交纳给技术服务费</w:t>
      </w:r>
      <w:r>
        <w:rPr>
          <w:rFonts w:ascii="Trebuchet MS"/>
          <w:u w:val="single"/>
          <w:rtl w:val="0"/>
          <w:lang w:val="en-US"/>
        </w:rPr>
        <w:t>2500</w:t>
      </w:r>
      <w:r>
        <w:rPr>
          <w:rFonts w:ascii="宋体" w:cs="宋体" w:hAnsi="宋体" w:eastAsia="宋体" w:hint="eastAsia"/>
          <w:rtl w:val="0"/>
          <w:lang w:val="en-US" w:eastAsia="zh-TW"/>
        </w:rPr>
        <w:t>元</w:t>
      </w:r>
      <w:r>
        <w:rPr>
          <w:rFonts w:ascii="Trebuchet MS"/>
          <w:rtl w:val="0"/>
          <w:lang w:val="en-US"/>
        </w:rPr>
        <w:t>/</w:t>
      </w:r>
      <w:r>
        <w:rPr>
          <w:rFonts w:ascii="宋体" w:cs="宋体" w:hAnsi="宋体" w:eastAsia="宋体" w:hint="eastAsia"/>
          <w:rtl w:val="0"/>
          <w:lang w:val="en-US" w:eastAsia="zh-TW"/>
        </w:rPr>
        <w:t>单门店（大写：贰仟伍佰元整），甲方负责向乙方提供包括不限于平台应用、技术对接和日常维护等服务；甲方提供服务的方式包括远程方式提供技术服务。</w:t>
      </w:r>
    </w:p>
    <w:p>
      <w:pPr>
        <w:pStyle w:val="List Paragraph"/>
        <w:numPr>
          <w:ilvl w:val="0"/>
          <w:numId w:val="6"/>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乙方在初始注册时，向甲方交纳宣传物料费人民币</w:t>
      </w:r>
      <w:r>
        <w:rPr>
          <w:rFonts w:ascii="Trebuchet MS"/>
          <w:u w:val="single"/>
          <w:rtl w:val="0"/>
          <w:lang w:val="en-US"/>
        </w:rPr>
        <w:t>500</w:t>
      </w:r>
      <w:r>
        <w:rPr>
          <w:rFonts w:ascii="宋体" w:cs="宋体" w:hAnsi="宋体" w:eastAsia="宋体" w:hint="eastAsia"/>
          <w:rtl w:val="0"/>
          <w:lang w:val="en-US" w:eastAsia="zh-TW"/>
        </w:rPr>
        <w:t>元</w:t>
      </w:r>
      <w:r>
        <w:rPr>
          <w:rFonts w:ascii="Trebuchet MS"/>
          <w:rtl w:val="0"/>
          <w:lang w:val="en-US"/>
        </w:rPr>
        <w:t>/</w:t>
      </w:r>
      <w:r>
        <w:rPr>
          <w:rFonts w:ascii="宋体" w:cs="宋体" w:hAnsi="宋体" w:eastAsia="宋体" w:hint="eastAsia"/>
          <w:rtl w:val="0"/>
          <w:lang w:val="en-US" w:eastAsia="zh-TW"/>
        </w:rPr>
        <w:t>单门店（大写：伍佰元整），甲方向乙方交付以下物品：</w:t>
      </w:r>
      <w:r>
        <w:rPr>
          <w:rFonts w:ascii="Trebuchet MS"/>
          <w:rtl w:val="0"/>
          <w:lang w:val="en-US"/>
        </w:rPr>
        <w:t>1</w:t>
      </w:r>
      <w:r>
        <w:rPr>
          <w:rFonts w:ascii="宋体" w:cs="宋体" w:hAnsi="宋体" w:eastAsia="宋体" w:hint="eastAsia"/>
          <w:rtl w:val="0"/>
          <w:lang w:val="en-US" w:eastAsia="zh-TW"/>
        </w:rPr>
        <w:t>）陈列架一副；</w:t>
      </w:r>
      <w:r>
        <w:rPr>
          <w:rFonts w:ascii="Trebuchet MS"/>
          <w:rtl w:val="0"/>
          <w:lang w:val="en-US"/>
        </w:rPr>
        <w:t>2</w:t>
      </w:r>
      <w:r>
        <w:rPr>
          <w:rFonts w:ascii="宋体" w:cs="宋体" w:hAnsi="宋体" w:eastAsia="宋体" w:hint="eastAsia"/>
          <w:rtl w:val="0"/>
          <w:lang w:val="en-US" w:eastAsia="zh-TW"/>
        </w:rPr>
        <w:t>）万国旗一条；</w:t>
      </w:r>
      <w:r>
        <w:rPr>
          <w:rFonts w:ascii="Trebuchet MS"/>
          <w:rtl w:val="0"/>
          <w:lang w:val="en-US"/>
        </w:rPr>
        <w:t>3</w:t>
      </w:r>
      <w:r>
        <w:rPr>
          <w:rFonts w:ascii="宋体" w:cs="宋体" w:hAnsi="宋体" w:eastAsia="宋体" w:hint="eastAsia"/>
          <w:rtl w:val="0"/>
          <w:lang w:val="en-US" w:eastAsia="zh-TW"/>
        </w:rPr>
        <w:t>）海报不超过两张；</w:t>
      </w:r>
      <w:r>
        <w:rPr>
          <w:rFonts w:ascii="Trebuchet MS"/>
          <w:rtl w:val="0"/>
          <w:lang w:val="en-US"/>
        </w:rPr>
        <w:t>4</w:t>
      </w:r>
      <w:r>
        <w:rPr>
          <w:rFonts w:ascii="宋体" w:cs="宋体" w:hAnsi="宋体" w:eastAsia="宋体" w:hint="eastAsia"/>
          <w:rtl w:val="0"/>
          <w:lang w:val="en-US" w:eastAsia="zh-TW"/>
        </w:rPr>
        <w:t>）台卡不超过八副。</w:t>
      </w:r>
    </w:p>
    <w:p>
      <w:pPr>
        <w:pStyle w:val="List Paragraph"/>
        <w:numPr>
          <w:ilvl w:val="0"/>
          <w:numId w:val="6"/>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甲方平台销售的商品分为完税商品和保税商品。</w:t>
      </w:r>
    </w:p>
    <w:p>
      <w:pPr>
        <w:pStyle w:val="List Paragraph"/>
        <w:numPr>
          <w:ilvl w:val="0"/>
          <w:numId w:val="6"/>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保税商品指从国家批准的跨境电商综合试验区保税仓库发货，经行邮税政策通关的合法进口商品。完税商品指通过一般贸易形式进口的完税商品。</w:t>
      </w:r>
    </w:p>
    <w:p>
      <w:pPr>
        <w:pStyle w:val="List Paragraph"/>
        <w:numPr>
          <w:ilvl w:val="0"/>
          <w:numId w:val="6"/>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甲方保留权利：未明示授权的其他一切权利仍归甲方所有，乙方使用其他权利时须另外取得甲方的正式授权。</w:t>
      </w:r>
    </w:p>
    <w:p>
      <w:pPr>
        <w:pStyle w:val="List Paragraph"/>
        <w:numPr>
          <w:ilvl w:val="0"/>
          <w:numId w:val="6"/>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乙方向甲方支付的费用，应转账支付到甲方以下账户，或者电商平台指定的第三方账户：</w:t>
      </w:r>
    </w:p>
    <w:p>
      <w:pPr>
        <w:pStyle w:val="Normal"/>
        <w:spacing w:line="360" w:lineRule="auto"/>
        <w:ind w:left="420" w:firstLine="0"/>
        <w:rPr>
          <w:rFonts w:ascii="宋体" w:cs="宋体" w:hAnsi="宋体" w:eastAsia="宋体"/>
          <w:rtl w:val="0"/>
          <w:lang w:val="zh-TW" w:eastAsia="zh-TW"/>
        </w:rPr>
      </w:pPr>
      <w:r>
        <w:rPr>
          <w:rFonts w:ascii="宋体" w:cs="宋体" w:hAnsi="宋体" w:eastAsia="宋体"/>
          <w:rtl w:val="0"/>
          <w:lang w:val="zh-TW" w:eastAsia="zh-TW"/>
        </w:rPr>
        <w:t>单位：</w:t>
      </w:r>
      <w:r>
        <w:rPr>
          <w:rFonts w:ascii="宋体" w:cs="宋体" w:hAnsi="宋体" w:eastAsia="宋体"/>
          <w:rtl w:val="0"/>
          <w:lang w:val="zh-TW" w:eastAsia="zh-TW"/>
        </w:rPr>
        <w:t>深圳市双才投资发展有限公司</w:t>
      </w:r>
    </w:p>
    <w:p>
      <w:pPr>
        <w:pStyle w:val="Normal"/>
        <w:spacing w:line="360" w:lineRule="auto"/>
        <w:ind w:firstLine="422"/>
        <w:rPr>
          <w:rFonts w:ascii="Calibri" w:cs="Calibri" w:hAnsi="Calibri" w:eastAsia="Calibri"/>
          <w:b w:val="1"/>
          <w:bCs w:val="1"/>
        </w:rPr>
      </w:pPr>
      <w:r>
        <w:rPr>
          <w:rFonts w:ascii="宋体" w:cs="宋体" w:hAnsi="宋体" w:eastAsia="宋体"/>
          <w:b w:val="1"/>
          <w:bCs w:val="1"/>
          <w:rtl w:val="0"/>
          <w:lang w:val="zh-TW" w:eastAsia="zh-TW"/>
        </w:rPr>
        <w:t>第四条</w:t>
      </w:r>
      <w:r>
        <w:rPr>
          <w:rFonts w:ascii="Calibri" w:cs="Calibri" w:hAnsi="Calibri" w:eastAsia="Calibri"/>
          <w:b w:val="1"/>
          <w:bCs w:val="1"/>
          <w:rtl w:val="0"/>
          <w:lang w:val="en-US"/>
        </w:rPr>
        <w:t xml:space="preserve"> </w:t>
      </w:r>
      <w:r>
        <w:rPr>
          <w:rFonts w:ascii="宋体" w:cs="宋体" w:hAnsi="宋体" w:eastAsia="宋体"/>
          <w:b w:val="1"/>
          <w:bCs w:val="1"/>
          <w:rtl w:val="0"/>
          <w:lang w:val="zh-TW" w:eastAsia="zh-TW"/>
        </w:rPr>
        <w:t>乙方的权利义务</w:t>
      </w:r>
    </w:p>
    <w:p>
      <w:pPr>
        <w:pStyle w:val="List Paragraph"/>
        <w:numPr>
          <w:ilvl w:val="0"/>
          <w:numId w:val="9"/>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乙方为甲方电子商务平台的消费者提供的服务包括但不限于：产品体验服务、售后支持服务以及营销推广活动。</w:t>
      </w:r>
    </w:p>
    <w:p>
      <w:pPr>
        <w:pStyle w:val="List Paragraph"/>
        <w:numPr>
          <w:ilvl w:val="0"/>
          <w:numId w:val="9"/>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经由乙方体验店端口进入甲方电商平台的产生消费行为。甲方应按电子商务平台约定的服务返佣金额向乙方支付服务费。</w:t>
      </w:r>
    </w:p>
    <w:p>
      <w:pPr>
        <w:pStyle w:val="List Paragraph"/>
        <w:numPr>
          <w:ilvl w:val="0"/>
          <w:numId w:val="9"/>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为体验店展示和消费者体验用途而在甲方平台购买的保税商品，需严格按照行邮税政策和标准，以消费者身份购买。乙方承诺不会将购买的保税商品向第三方转售。如果发生转售行为，乙方应承担相应的法律责任。如因此导致甲方被处罚或产生其他损失的，乙方应向甲方承担损失赔偿责任。</w:t>
      </w:r>
    </w:p>
    <w:p>
      <w:pPr>
        <w:pStyle w:val="List Paragraph"/>
        <w:numPr>
          <w:ilvl w:val="0"/>
          <w:numId w:val="9"/>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甲乙双方确认相互不存在共同投资、合营、联营等法律关系，乙方应自行承担体验门店的租金、人员开支，及其他日常运营开支。</w:t>
      </w:r>
    </w:p>
    <w:p>
      <w:pPr>
        <w:pStyle w:val="List Paragraph"/>
        <w:numPr>
          <w:ilvl w:val="0"/>
          <w:numId w:val="9"/>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甲方有权根据业务的需要选择合适的合作伙伴，为甲乙双方的业务活动提供配套的装备或服务。包括但不限于供应链服务提供商深圳益达供应链管理有限公司的物流合作。</w:t>
      </w:r>
    </w:p>
    <w:p>
      <w:pPr>
        <w:pStyle w:val="Normal"/>
        <w:spacing w:line="360" w:lineRule="auto"/>
        <w:ind w:firstLine="413"/>
        <w:outlineLvl w:val="0"/>
        <w:rPr>
          <w:rFonts w:ascii="Calibri" w:cs="Calibri" w:hAnsi="Calibri" w:eastAsia="Calibri"/>
          <w:b w:val="1"/>
          <w:bCs w:val="1"/>
        </w:rPr>
      </w:pPr>
      <w:r>
        <w:rPr>
          <w:rFonts w:ascii="宋体" w:cs="宋体" w:hAnsi="宋体" w:eastAsia="宋体"/>
          <w:b w:val="1"/>
          <w:bCs w:val="1"/>
          <w:rtl w:val="0"/>
          <w:lang w:val="zh-TW" w:eastAsia="zh-TW"/>
        </w:rPr>
        <w:t>第五条</w:t>
      </w:r>
      <w:r>
        <w:rPr>
          <w:rFonts w:ascii="Calibri" w:cs="Calibri" w:hAnsi="Calibri" w:eastAsia="Calibri"/>
          <w:b w:val="1"/>
          <w:bCs w:val="1"/>
          <w:rtl w:val="0"/>
          <w:lang w:val="en-US"/>
        </w:rPr>
        <w:t xml:space="preserve"> </w:t>
      </w:r>
      <w:r>
        <w:rPr>
          <w:rFonts w:ascii="宋体" w:cs="宋体" w:hAnsi="宋体" w:eastAsia="宋体"/>
          <w:b w:val="1"/>
          <w:bCs w:val="1"/>
          <w:rtl w:val="0"/>
          <w:lang w:val="zh-TW" w:eastAsia="zh-TW"/>
        </w:rPr>
        <w:t>乙方服务费的结算与支付</w:t>
      </w:r>
    </w:p>
    <w:p>
      <w:pPr>
        <w:pStyle w:val="List Paragraph"/>
        <w:numPr>
          <w:ilvl w:val="0"/>
          <w:numId w:val="12"/>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包含店家和导购两个角色，其中店家指乙方企业（含个体工商户）法人代表，导购指乙方雇佣的业务销售人员。店家和导购都属于乙方管理。乙方所属的导购，通过本协议规定的合作方式，参与到乙方经营范围内的业务销售活动时，可享受相应的服务分成。</w:t>
      </w:r>
    </w:p>
    <w:p>
      <w:pPr>
        <w:pStyle w:val="List Paragraph"/>
        <w:numPr>
          <w:ilvl w:val="0"/>
          <w:numId w:val="12"/>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支付条件：从消费者确认收货，无退货退款情况，</w:t>
      </w:r>
      <w:r>
        <w:rPr>
          <w:rFonts w:ascii="Trebuchet MS"/>
          <w:rtl w:val="0"/>
          <w:lang w:val="en-US"/>
        </w:rPr>
        <w:t>15</w:t>
      </w:r>
      <w:r>
        <w:rPr>
          <w:rFonts w:ascii="宋体" w:cs="宋体" w:hAnsi="宋体" w:eastAsia="宋体" w:hint="eastAsia"/>
          <w:rtl w:val="0"/>
          <w:lang w:val="en-US" w:eastAsia="zh-TW"/>
        </w:rPr>
        <w:t>个工作日后，满足甲方支付服务佣金条件，乙方可提现。提现申请</w:t>
      </w:r>
      <w:r>
        <w:rPr>
          <w:rFonts w:ascii="Trebuchet MS"/>
          <w:rtl w:val="0"/>
          <w:lang w:val="en-US"/>
        </w:rPr>
        <w:t>3</w:t>
      </w:r>
      <w:r>
        <w:rPr>
          <w:rFonts w:ascii="宋体" w:cs="宋体" w:hAnsi="宋体" w:eastAsia="宋体" w:hint="eastAsia"/>
          <w:rtl w:val="0"/>
          <w:lang w:val="en-US" w:eastAsia="zh-TW"/>
        </w:rPr>
        <w:t>个工作日内，甲方结算至乙方指定账户。</w:t>
      </w:r>
    </w:p>
    <w:p>
      <w:pPr>
        <w:pStyle w:val="List Paragraph"/>
        <w:numPr>
          <w:ilvl w:val="0"/>
          <w:numId w:val="12"/>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乙方就消费者通过其体验店端口在甲方电商平台上产生的消费金额，享有获得甲方服务返佣的权利。乙方在满足支付条件后，可启动服务返佣申请，甲方应通过电商平台向乙方支付返佣服务费。</w:t>
      </w:r>
    </w:p>
    <w:p>
      <w:pPr>
        <w:pStyle w:val="List Paragraph"/>
        <w:numPr>
          <w:ilvl w:val="0"/>
          <w:numId w:val="12"/>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甲方在销售平台提供所需的账单流水，作为账单核对的依据。</w:t>
      </w:r>
    </w:p>
    <w:p>
      <w:pPr>
        <w:pStyle w:val="List Paragraph"/>
        <w:numPr>
          <w:ilvl w:val="0"/>
          <w:numId w:val="12"/>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甲方向乙方支付服务费的账号：乙方账户信息以初始注册的账户信息为准。乙方可在符合付款条件后，自动申请提现服务费。</w:t>
      </w:r>
    </w:p>
    <w:p>
      <w:pPr>
        <w:pStyle w:val="List Paragraph"/>
        <w:numPr>
          <w:ilvl w:val="0"/>
          <w:numId w:val="12"/>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乙方账号注册和入驻电商平台的流程如下：</w:t>
      </w:r>
    </w:p>
    <w:p>
      <w:pPr>
        <w:pStyle w:val="List Paragraph"/>
        <w:numPr>
          <w:ilvl w:val="0"/>
          <w:numId w:val="15"/>
        </w:numPr>
        <w:tabs>
          <w:tab w:val="num" w:pos="780"/>
          <w:tab w:val="clear" w:pos="0"/>
        </w:tabs>
        <w:bidi w:val="0"/>
        <w:spacing w:line="360" w:lineRule="auto"/>
        <w:ind w:left="780" w:right="0" w:hanging="360"/>
        <w:jc w:val="both"/>
        <w:rPr>
          <w:rFonts w:ascii="Times" w:cs="Times" w:hAnsi="Times" w:eastAsia="Times"/>
          <w:position w:val="0"/>
          <w:rtl w:val="0"/>
          <w:lang w:val="zh-TW" w:eastAsia="zh-TW"/>
        </w:rPr>
      </w:pPr>
      <w:r>
        <w:rPr>
          <w:rFonts w:ascii="宋体" w:cs="宋体" w:hAnsi="宋体" w:eastAsia="宋体" w:hint="eastAsia"/>
          <w:rtl w:val="0"/>
          <w:lang w:val="en-US" w:eastAsia="zh-TW"/>
        </w:rPr>
        <w:t>乙方注册平台账户；</w:t>
      </w:r>
      <w:r>
        <w:rPr>
          <w:rFonts w:ascii="Trebuchet MS"/>
          <w:rtl w:val="0"/>
          <w:lang w:val="en-US"/>
        </w:rPr>
        <w:t>2</w:t>
      </w:r>
      <w:r>
        <w:rPr>
          <w:rFonts w:ascii="宋体" w:cs="宋体" w:hAnsi="宋体" w:eastAsia="宋体" w:hint="eastAsia"/>
          <w:rtl w:val="0"/>
          <w:lang w:val="en-US" w:eastAsia="zh-TW"/>
        </w:rPr>
        <w:t>）乙方填写店铺信息；</w:t>
      </w:r>
      <w:r>
        <w:rPr>
          <w:rFonts w:ascii="Trebuchet MS"/>
          <w:rtl w:val="0"/>
          <w:lang w:val="en-US"/>
        </w:rPr>
        <w:t>3</w:t>
      </w:r>
      <w:r>
        <w:rPr>
          <w:rFonts w:ascii="宋体" w:cs="宋体" w:hAnsi="宋体" w:eastAsia="宋体" w:hint="eastAsia"/>
          <w:rtl w:val="0"/>
          <w:lang w:val="en-US" w:eastAsia="zh-TW"/>
        </w:rPr>
        <w:t>）乙方网上平台签署协议；</w:t>
      </w:r>
      <w:r>
        <w:rPr>
          <w:rFonts w:ascii="Trebuchet MS"/>
          <w:rtl w:val="0"/>
          <w:lang w:val="en-US"/>
        </w:rPr>
        <w:t>4</w:t>
      </w:r>
      <w:r>
        <w:rPr>
          <w:rFonts w:ascii="宋体" w:cs="宋体" w:hAnsi="宋体" w:eastAsia="宋体" w:hint="eastAsia"/>
          <w:rtl w:val="0"/>
          <w:lang w:val="en-US" w:eastAsia="zh-TW"/>
        </w:rPr>
        <w:t>）乙方确认协议规定的门店装修物料；</w:t>
      </w:r>
      <w:r>
        <w:rPr>
          <w:rFonts w:ascii="Trebuchet MS"/>
          <w:rtl w:val="0"/>
          <w:lang w:val="en-US"/>
        </w:rPr>
        <w:t>5</w:t>
      </w:r>
      <w:r>
        <w:rPr>
          <w:rFonts w:ascii="宋体" w:cs="宋体" w:hAnsi="宋体" w:eastAsia="宋体" w:hint="eastAsia"/>
          <w:rtl w:val="0"/>
          <w:lang w:val="en-US" w:eastAsia="zh-TW"/>
        </w:rPr>
        <w:t>）乙方缴款至指定账户；</w:t>
      </w:r>
      <w:r>
        <w:rPr>
          <w:rFonts w:ascii="Trebuchet MS"/>
          <w:rtl w:val="0"/>
          <w:lang w:val="en-US"/>
        </w:rPr>
        <w:t>6</w:t>
      </w:r>
      <w:r>
        <w:rPr>
          <w:rFonts w:ascii="宋体" w:cs="宋体" w:hAnsi="宋体" w:eastAsia="宋体" w:hint="eastAsia"/>
          <w:rtl w:val="0"/>
          <w:lang w:val="en-US" w:eastAsia="zh-TW"/>
        </w:rPr>
        <w:t>）甲方激活乙方账户。</w:t>
      </w:r>
    </w:p>
    <w:p>
      <w:pPr>
        <w:pStyle w:val="List Paragraph"/>
        <w:numPr>
          <w:ilvl w:val="0"/>
          <w:numId w:val="12"/>
        </w:numPr>
        <w:tabs>
          <w:tab w:val="num" w:pos="420"/>
          <w:tab w:val="clear" w:pos="0"/>
        </w:tabs>
        <w:bidi w:val="0"/>
        <w:spacing w:line="360" w:lineRule="auto"/>
        <w:ind w:left="42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乙方服务收入核算方式如下：</w:t>
      </w:r>
    </w:p>
    <w:p>
      <w:pPr>
        <w:pStyle w:val="List Paragraph"/>
        <w:numPr>
          <w:ilvl w:val="1"/>
          <w:numId w:val="18"/>
        </w:numPr>
        <w:tabs>
          <w:tab w:val="num" w:pos="840"/>
          <w:tab w:val="clear" w:pos="0"/>
        </w:tabs>
        <w:bidi w:val="0"/>
        <w:spacing w:line="360" w:lineRule="auto"/>
        <w:ind w:left="84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服务收入核算根据商品销售毛利区分不同的返佣方式。乙方可在电商平台实时查看商品返佣金额，订单流水明细。导购收入不经过乙方的银行账户，直接支付到乙方导购个人独立账户。乙方导购电商平台账户（不含银行账户）经乙方监控和维护。乙方账号所有人无变更申请至甲方客服，自动确认导购账户合法有效。</w:t>
      </w:r>
    </w:p>
    <w:p>
      <w:pPr>
        <w:pStyle w:val="List Paragraph"/>
        <w:numPr>
          <w:ilvl w:val="1"/>
          <w:numId w:val="18"/>
        </w:numPr>
        <w:tabs>
          <w:tab w:val="num" w:pos="840"/>
          <w:tab w:val="clear" w:pos="0"/>
        </w:tabs>
        <w:bidi w:val="0"/>
        <w:spacing w:line="360" w:lineRule="auto"/>
        <w:ind w:left="84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乙方服务分成比例为最高分成比例。根据不同的商品采购成本、不同的营销策略有所区别。商品最终的服务分成金额，以平台发布的金额为准。甲方对核算方式享有最终解释权。</w:t>
      </w:r>
    </w:p>
    <w:p>
      <w:pPr>
        <w:pStyle w:val="List Paragraph"/>
        <w:numPr>
          <w:ilvl w:val="1"/>
          <w:numId w:val="20"/>
        </w:numPr>
        <w:tabs>
          <w:tab w:val="num" w:pos="840"/>
          <w:tab w:val="clear" w:pos="0"/>
        </w:tabs>
        <w:bidi w:val="0"/>
        <w:spacing w:line="360" w:lineRule="auto"/>
        <w:ind w:left="840" w:right="0" w:hanging="420"/>
        <w:jc w:val="both"/>
        <w:rPr>
          <w:rFonts w:ascii="Times" w:cs="Times" w:hAnsi="Times" w:eastAsia="Times"/>
          <w:position w:val="0"/>
          <w:rtl w:val="0"/>
          <w:lang w:val="zh-TW" w:eastAsia="zh-TW"/>
        </w:rPr>
      </w:pPr>
      <w:r>
        <w:rPr>
          <w:rFonts w:ascii="宋体" w:cs="宋体" w:hAnsi="宋体" w:eastAsia="宋体" w:hint="eastAsia"/>
          <w:rtl w:val="0"/>
          <w:lang w:val="en-US" w:eastAsia="zh-TW"/>
        </w:rPr>
        <w:t>乙方根据经营结果的不同，区分注册和销售两个身份。注册身份：消费者只有注册行为，不在乙方门店产生消费行为的，称为注册身份。消费者产生消费行为后，乙方才可以获得注册服务分成。销售身份：消费者在乙方门店产生了消费行为，称之为销售身份，乙方可以获得销售服务分成。</w:t>
      </w:r>
    </w:p>
    <w:p>
      <w:pPr>
        <w:pStyle w:val="Normal"/>
        <w:spacing w:line="360" w:lineRule="auto"/>
        <w:ind w:firstLine="422"/>
        <w:outlineLvl w:val="0"/>
        <w:rPr>
          <w:rFonts w:ascii="Calibri" w:cs="Calibri" w:hAnsi="Calibri" w:eastAsia="Calibri"/>
          <w:b w:val="1"/>
          <w:bCs w:val="1"/>
        </w:rPr>
      </w:pPr>
      <w:r>
        <w:rPr>
          <w:rFonts w:ascii="宋体" w:cs="宋体" w:hAnsi="宋体" w:eastAsia="宋体"/>
          <w:b w:val="1"/>
          <w:bCs w:val="1"/>
          <w:rtl w:val="0"/>
          <w:lang w:val="zh-TW" w:eastAsia="zh-TW"/>
        </w:rPr>
        <w:t>第六条</w:t>
      </w:r>
      <w:r>
        <w:rPr>
          <w:rFonts w:ascii="Calibri" w:cs="Calibri" w:hAnsi="Calibri" w:eastAsia="Calibri"/>
          <w:b w:val="1"/>
          <w:bCs w:val="1"/>
          <w:rtl w:val="0"/>
          <w:lang w:val="en-US"/>
        </w:rPr>
        <w:t xml:space="preserve"> </w:t>
      </w:r>
      <w:r>
        <w:rPr>
          <w:rFonts w:ascii="宋体" w:cs="宋体" w:hAnsi="宋体" w:eastAsia="宋体"/>
          <w:b w:val="1"/>
          <w:bCs w:val="1"/>
          <w:rtl w:val="0"/>
          <w:lang w:val="zh-TW" w:eastAsia="zh-TW"/>
        </w:rPr>
        <w:t>本协议的变更和终止</w:t>
      </w:r>
    </w:p>
    <w:p>
      <w:pPr>
        <w:pStyle w:val="List Paragraph"/>
        <w:numPr>
          <w:ilvl w:val="0"/>
          <w:numId w:val="23"/>
        </w:numPr>
        <w:tabs>
          <w:tab w:val="num" w:pos="360"/>
          <w:tab w:val="clear" w:pos="0"/>
        </w:tabs>
        <w:bidi w:val="0"/>
        <w:spacing w:line="360" w:lineRule="auto"/>
        <w:ind w:left="360" w:right="0" w:hanging="360"/>
        <w:jc w:val="both"/>
        <w:outlineLvl w:val="0"/>
        <w:rPr>
          <w:rFonts w:ascii="Times" w:cs="Times" w:hAnsi="Times" w:eastAsia="Times"/>
          <w:position w:val="0"/>
          <w:rtl w:val="0"/>
          <w:lang w:val="zh-TW" w:eastAsia="zh-TW"/>
        </w:rPr>
      </w:pPr>
      <w:r>
        <w:rPr>
          <w:rFonts w:ascii="宋体" w:cs="宋体" w:hAnsi="宋体" w:eastAsia="宋体" w:hint="eastAsia"/>
          <w:rtl w:val="0"/>
          <w:lang w:val="en-US" w:eastAsia="zh-TW"/>
        </w:rPr>
        <w:t>乙方服务返佣比例和金额，根据经营和货物成本变化月度动态调整，并且在电商平台公示商品返佣金额。</w:t>
      </w:r>
    </w:p>
    <w:p>
      <w:pPr>
        <w:pStyle w:val="List Paragraph"/>
        <w:numPr>
          <w:ilvl w:val="0"/>
          <w:numId w:val="23"/>
        </w:numPr>
        <w:tabs>
          <w:tab w:val="num" w:pos="360"/>
          <w:tab w:val="clear" w:pos="0"/>
        </w:tabs>
        <w:bidi w:val="0"/>
        <w:spacing w:line="360" w:lineRule="auto"/>
        <w:ind w:left="360" w:right="0" w:hanging="360"/>
        <w:jc w:val="both"/>
        <w:rPr>
          <w:rFonts w:ascii="Times" w:cs="Times" w:hAnsi="Times" w:eastAsia="Times"/>
          <w:position w:val="0"/>
          <w:rtl w:val="0"/>
          <w:lang w:val="zh-TW" w:eastAsia="zh-TW"/>
        </w:rPr>
      </w:pPr>
      <w:r>
        <w:rPr>
          <w:rFonts w:ascii="宋体" w:cs="宋体" w:hAnsi="宋体" w:eastAsia="宋体" w:hint="eastAsia"/>
          <w:rtl w:val="0"/>
          <w:lang w:val="en-US" w:eastAsia="zh-TW"/>
        </w:rPr>
        <w:t>乙方如有违反法律法规，或违反本协议约定向第三方转售保税商品等情形的，甲方有权单方终止本协议。</w:t>
      </w:r>
    </w:p>
    <w:p>
      <w:pPr>
        <w:pStyle w:val="List Paragraph"/>
        <w:numPr>
          <w:ilvl w:val="0"/>
          <w:numId w:val="23"/>
        </w:numPr>
        <w:tabs>
          <w:tab w:val="num" w:pos="360"/>
          <w:tab w:val="clear" w:pos="0"/>
        </w:tabs>
        <w:bidi w:val="0"/>
        <w:spacing w:line="360" w:lineRule="auto"/>
        <w:ind w:left="360" w:right="0" w:hanging="360"/>
        <w:jc w:val="both"/>
        <w:rPr>
          <w:rFonts w:ascii="Times" w:cs="Times" w:hAnsi="Times" w:eastAsia="Times"/>
          <w:position w:val="0"/>
          <w:rtl w:val="0"/>
          <w:lang w:val="zh-TW" w:eastAsia="zh-TW"/>
        </w:rPr>
      </w:pPr>
      <w:r>
        <w:rPr>
          <w:rFonts w:ascii="宋体" w:cs="宋体" w:hAnsi="宋体" w:eastAsia="宋体" w:hint="eastAsia"/>
          <w:rtl w:val="0"/>
          <w:lang w:val="en-US" w:eastAsia="zh-TW"/>
        </w:rPr>
        <w:t>乙方平台账号仅限于乙方账号初始注册人使用，禁止转让、赠与、售卖、租用、借用。如果甲方发现使用者并非乙方账号初始注册人，甲方有权在未经通知的情况下回收该帐号而无需向该帐号使用人承担法律责任，由此带来的包括并不限于用户通讯中断、用户资料和服务返佣资金清空等损失由乙方自行承担。甲方禁止用户私下有偿或无偿转让帐号，以免因帐号问题产生纠纷，用户应当自行承担因违反此要求而遭致的任何损失，同时甲方保留追究上述行为人法律责任的权利。</w:t>
      </w:r>
    </w:p>
    <w:p>
      <w:pPr>
        <w:pStyle w:val="List Paragraph"/>
        <w:numPr>
          <w:ilvl w:val="0"/>
          <w:numId w:val="23"/>
        </w:numPr>
        <w:tabs>
          <w:tab w:val="num" w:pos="360"/>
          <w:tab w:val="clear" w:pos="0"/>
        </w:tabs>
        <w:bidi w:val="0"/>
        <w:spacing w:line="360" w:lineRule="auto"/>
        <w:ind w:left="360" w:right="0" w:hanging="360"/>
        <w:jc w:val="both"/>
        <w:rPr>
          <w:rFonts w:ascii="Times" w:cs="Times" w:hAnsi="Times" w:eastAsia="Times"/>
          <w:position w:val="0"/>
          <w:rtl w:val="0"/>
          <w:lang w:val="zh-TW" w:eastAsia="zh-TW"/>
        </w:rPr>
      </w:pPr>
      <w:r>
        <w:rPr>
          <w:rFonts w:ascii="宋体" w:cs="宋体" w:hAnsi="宋体" w:eastAsia="宋体" w:hint="eastAsia"/>
          <w:rtl w:val="0"/>
          <w:lang w:val="en-US" w:eastAsia="zh-TW"/>
        </w:rPr>
        <w:t>如因自然灾害，战争或政府政策等不可抗力因素导致电商平台中止服务或者财产损失，本协议则自行终止，双方各自承担自己的损失。</w:t>
      </w:r>
    </w:p>
    <w:p>
      <w:pPr>
        <w:pStyle w:val="List Paragraph"/>
        <w:numPr>
          <w:ilvl w:val="0"/>
          <w:numId w:val="23"/>
        </w:numPr>
        <w:tabs>
          <w:tab w:val="num" w:pos="360"/>
          <w:tab w:val="clear" w:pos="0"/>
        </w:tabs>
        <w:bidi w:val="0"/>
        <w:spacing w:line="360" w:lineRule="auto"/>
        <w:ind w:left="360" w:right="0" w:hanging="360"/>
        <w:jc w:val="both"/>
        <w:rPr>
          <w:rFonts w:ascii="Times" w:cs="Times" w:hAnsi="Times" w:eastAsia="Times"/>
          <w:position w:val="0"/>
          <w:rtl w:val="0"/>
          <w:lang w:val="zh-TW" w:eastAsia="zh-TW"/>
        </w:rPr>
      </w:pPr>
      <w:r>
        <w:rPr>
          <w:rFonts w:ascii="宋体" w:cs="宋体" w:hAnsi="宋体" w:eastAsia="宋体" w:hint="eastAsia"/>
          <w:rtl w:val="0"/>
          <w:lang w:val="en-US" w:eastAsia="zh-TW"/>
        </w:rPr>
        <w:t>经双方协商一致，本协议终止。</w:t>
      </w:r>
    </w:p>
    <w:p>
      <w:pPr>
        <w:pStyle w:val="List Paragraph"/>
        <w:numPr>
          <w:ilvl w:val="0"/>
          <w:numId w:val="23"/>
        </w:numPr>
        <w:tabs>
          <w:tab w:val="num" w:pos="360"/>
          <w:tab w:val="clear" w:pos="0"/>
        </w:tabs>
        <w:bidi w:val="0"/>
        <w:spacing w:line="360" w:lineRule="auto"/>
        <w:ind w:left="360" w:right="0" w:hanging="360"/>
        <w:jc w:val="both"/>
        <w:outlineLvl w:val="0"/>
        <w:rPr>
          <w:rFonts w:ascii="Times" w:cs="Times" w:hAnsi="Times" w:eastAsia="Times"/>
          <w:position w:val="0"/>
          <w:rtl w:val="0"/>
          <w:lang w:val="zh-TW" w:eastAsia="zh-TW"/>
        </w:rPr>
      </w:pPr>
      <w:r>
        <w:rPr>
          <w:rFonts w:ascii="宋体" w:cs="宋体" w:hAnsi="宋体" w:eastAsia="宋体" w:hint="eastAsia"/>
          <w:rtl w:val="0"/>
          <w:lang w:val="en-US" w:eastAsia="zh-TW"/>
        </w:rPr>
        <w:t>本协议相关条款的最终解释权归甲方所有。如有未尽事宜，甲乙双方可协商签署补充协议。</w:t>
      </w:r>
    </w:p>
    <w:p>
      <w:pPr>
        <w:pStyle w:val="List Paragraph"/>
        <w:spacing w:line="360" w:lineRule="auto"/>
        <w:ind w:left="360" w:firstLine="0"/>
        <w:outlineLvl w:val="0"/>
        <w:rPr>
          <w:rFonts w:ascii="Calibri" w:cs="Calibri" w:hAnsi="Calibri" w:eastAsia="Calibri"/>
          <w:b w:val="1"/>
          <w:bCs w:val="1"/>
        </w:rPr>
      </w:pPr>
      <w:r>
        <w:rPr>
          <w:rFonts w:ascii="宋体" w:cs="宋体" w:hAnsi="宋体" w:eastAsia="宋体"/>
          <w:b w:val="1"/>
          <w:bCs w:val="1"/>
          <w:rtl w:val="0"/>
          <w:lang w:val="zh-TW" w:eastAsia="zh-TW"/>
        </w:rPr>
        <w:t>第七条</w:t>
      </w:r>
      <w:r>
        <w:rPr>
          <w:rFonts w:ascii="Calibri" w:cs="Calibri" w:hAnsi="Calibri" w:eastAsia="Calibri"/>
          <w:b w:val="1"/>
          <w:bCs w:val="1"/>
          <w:rtl w:val="0"/>
          <w:lang w:val="en-US"/>
        </w:rPr>
        <w:t xml:space="preserve">  </w:t>
      </w:r>
      <w:r>
        <w:rPr>
          <w:rFonts w:ascii="宋体" w:cs="宋体" w:hAnsi="宋体" w:eastAsia="宋体"/>
          <w:b w:val="1"/>
          <w:bCs w:val="1"/>
          <w:rtl w:val="0"/>
          <w:lang w:val="zh-TW" w:eastAsia="zh-TW"/>
        </w:rPr>
        <w:t>争议解决</w:t>
      </w:r>
    </w:p>
    <w:p>
      <w:pPr>
        <w:pStyle w:val="List Paragraph"/>
        <w:spacing w:line="360" w:lineRule="auto"/>
        <w:ind w:left="360" w:firstLine="0"/>
        <w:outlineLvl w:val="0"/>
        <w:rPr>
          <w:rFonts w:ascii="宋体" w:cs="宋体" w:hAnsi="宋体" w:eastAsia="宋体"/>
          <w:rtl w:val="0"/>
          <w:lang w:val="zh-TW" w:eastAsia="zh-TW"/>
        </w:rPr>
      </w:pPr>
      <w:r>
        <w:rPr>
          <w:rFonts w:ascii="宋体" w:cs="宋体" w:hAnsi="宋体" w:eastAsia="宋体"/>
          <w:rtl w:val="0"/>
          <w:lang w:val="zh-TW" w:eastAsia="zh-TW"/>
        </w:rPr>
        <w:t>如发生争议双方协商解决。协商不成，通过仲裁方式解决。</w:t>
      </w:r>
    </w:p>
    <w:p>
      <w:pPr>
        <w:pStyle w:val="List Paragraph"/>
        <w:spacing w:line="360" w:lineRule="auto"/>
        <w:ind w:left="360" w:firstLine="0"/>
        <w:outlineLvl w:val="0"/>
        <w:rPr>
          <w:rFonts w:ascii="Calibri" w:cs="Calibri" w:hAnsi="Calibri" w:eastAsia="Calibri"/>
          <w:b w:val="1"/>
          <w:bCs w:val="1"/>
        </w:rPr>
      </w:pPr>
      <w:r>
        <w:rPr>
          <w:rFonts w:ascii="宋体" w:cs="宋体" w:hAnsi="宋体" w:eastAsia="宋体"/>
          <w:b w:val="1"/>
          <w:bCs w:val="1"/>
          <w:rtl w:val="0"/>
          <w:lang w:val="zh-TW" w:eastAsia="zh-TW"/>
        </w:rPr>
        <w:t>第八条</w:t>
      </w:r>
      <w:r>
        <w:rPr>
          <w:rFonts w:ascii="Calibri" w:cs="Calibri" w:hAnsi="Calibri" w:eastAsia="Calibri"/>
          <w:b w:val="1"/>
          <w:bCs w:val="1"/>
          <w:rtl w:val="0"/>
          <w:lang w:val="en-US"/>
        </w:rPr>
        <w:t xml:space="preserve"> </w:t>
      </w:r>
      <w:r>
        <w:rPr>
          <w:rFonts w:ascii="宋体" w:cs="宋体" w:hAnsi="宋体" w:eastAsia="宋体"/>
          <w:b w:val="1"/>
          <w:bCs w:val="1"/>
          <w:rtl w:val="0"/>
          <w:lang w:val="zh-TW" w:eastAsia="zh-TW"/>
        </w:rPr>
        <w:t>本协议的生效条件</w:t>
      </w:r>
    </w:p>
    <w:p>
      <w:pPr>
        <w:pStyle w:val="Normal"/>
        <w:spacing w:line="360" w:lineRule="auto"/>
        <w:ind w:firstLine="420"/>
        <w:outlineLvl w:val="0"/>
      </w:pPr>
      <w:r>
        <w:rPr>
          <w:rFonts w:ascii="宋体" w:cs="宋体" w:hAnsi="宋体" w:eastAsia="宋体"/>
          <w:rtl w:val="0"/>
          <w:lang w:val="zh-TW" w:eastAsia="zh-TW"/>
        </w:rPr>
        <w:t>本协议经乙方在电商平台完成初始账户注册后自动生效。</w:t>
      </w:r>
    </w:p>
    <w:sectPr>
      <w:headerReference w:type="default" r:id="rId4"/>
      <w:footerReference w:type="default" r:id="rId5"/>
      <w:pgSz w:w="11900" w:h="16840" w:orient="portrait"/>
      <w:pgMar w:top="1440" w:right="1800" w:bottom="1440" w:left="1800" w:header="851" w:footer="992"/>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宋体">
    <w:charset w:val="00"/>
    <w:family w:val="roman"/>
    <w:pitch w:val="default"/>
  </w:font>
  <w:font w:name="Trebuchet MS">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眉与页脚"/>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眉与页脚"/>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rPr>
        <w:rFonts w:ascii="宋体" w:cs="宋体" w:hAnsi="宋体" w:eastAsia="宋体"/>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1">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
    <w:multiLevelType w:val="multilevel"/>
    <w:styleLink w:val="List 0"/>
    <w:lvl w:ilvl="0">
      <w:start w:val="1"/>
      <w:numFmt w:val="decimal"/>
      <w:suff w:val="tab"/>
      <w:lvlText w:val="%1."/>
      <w:lvlJc w:val="left"/>
      <w:pPr/>
      <w:rPr>
        <w:rFonts w:ascii="Times" w:cs="Times" w:hAnsi="Times" w:eastAsia="Times"/>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3">
    <w:multiLevelType w:val="multilevel"/>
    <w:lvl w:ilvl="0">
      <w:start w:val="1"/>
      <w:numFmt w:val="decimal"/>
      <w:suff w:val="tab"/>
      <w:lvlText w:val="%1."/>
      <w:lvlJc w:val="left"/>
      <w:pPr/>
      <w:rPr>
        <w:rFonts w:ascii="宋体" w:cs="宋体" w:hAnsi="宋体" w:eastAsia="宋体"/>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4">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5">
    <w:multiLevelType w:val="multilevel"/>
    <w:styleLink w:val="List 1"/>
    <w:lvl w:ilvl="0">
      <w:start w:val="1"/>
      <w:numFmt w:val="decimal"/>
      <w:suff w:val="tab"/>
      <w:lvlText w:val="%1."/>
      <w:lvlJc w:val="left"/>
      <w:pPr/>
      <w:rPr>
        <w:rFonts w:ascii="Times" w:cs="Times" w:hAnsi="Times" w:eastAsia="Times"/>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6">
    <w:multiLevelType w:val="multilevel"/>
    <w:lvl w:ilvl="0">
      <w:start w:val="1"/>
      <w:numFmt w:val="decimal"/>
      <w:suff w:val="tab"/>
      <w:lvlText w:val="%1."/>
      <w:lvlJc w:val="left"/>
      <w:pPr/>
      <w:rPr>
        <w:rFonts w:ascii="宋体" w:cs="宋体" w:hAnsi="宋体" w:eastAsia="宋体"/>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7">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8">
    <w:multiLevelType w:val="multilevel"/>
    <w:styleLink w:val="List 2"/>
    <w:lvl w:ilvl="0">
      <w:start w:val="1"/>
      <w:numFmt w:val="decimal"/>
      <w:suff w:val="tab"/>
      <w:lvlText w:val="%1."/>
      <w:lvlJc w:val="left"/>
      <w:pPr/>
      <w:rPr>
        <w:rFonts w:ascii="Times" w:cs="Times" w:hAnsi="Times" w:eastAsia="Times"/>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9">
    <w:multiLevelType w:val="multilevel"/>
    <w:lvl w:ilvl="0">
      <w:start w:val="1"/>
      <w:numFmt w:val="decimal"/>
      <w:suff w:val="tab"/>
      <w:lvlText w:val="%1."/>
      <w:lvlJc w:val="left"/>
      <w:pPr/>
      <w:rPr>
        <w:rFonts w:ascii="宋体" w:cs="宋体" w:hAnsi="宋体" w:eastAsia="宋体"/>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10">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11">
    <w:multiLevelType w:val="multilevel"/>
    <w:styleLink w:val="List 3"/>
    <w:lvl w:ilvl="0">
      <w:start w:val="1"/>
      <w:numFmt w:val="decimal"/>
      <w:suff w:val="tab"/>
      <w:lvlText w:val="%1."/>
      <w:lvlJc w:val="left"/>
      <w:pPr/>
      <w:rPr>
        <w:rFonts w:ascii="Times" w:cs="Times" w:hAnsi="Times" w:eastAsia="Times"/>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12">
    <w:multiLevelType w:val="multilevel"/>
    <w:lvl w:ilvl="0">
      <w:start w:val="1"/>
      <w:numFmt w:val="decimal"/>
      <w:suff w:val="tab"/>
      <w:lvlText w:val="%1."/>
      <w:lvlJc w:val="left"/>
      <w:pPr/>
      <w:rPr>
        <w:rFonts w:ascii="宋体" w:cs="宋体" w:hAnsi="宋体" w:eastAsia="宋体"/>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13">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14">
    <w:multiLevelType w:val="multilevel"/>
    <w:styleLink w:val="List 4"/>
    <w:lvl w:ilvl="0">
      <w:start w:val="1"/>
      <w:numFmt w:val="decimal"/>
      <w:suff w:val="tab"/>
      <w:lvlText w:val="%1."/>
      <w:lvlJc w:val="left"/>
      <w:pPr/>
      <w:rPr>
        <w:rFonts w:ascii="Times" w:cs="Times" w:hAnsi="Times" w:eastAsia="Times"/>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15">
    <w:multiLevelType w:val="multilevel"/>
    <w:lvl w:ilvl="0">
      <w:start w:val="1"/>
      <w:numFmt w:val="bullet"/>
      <w:suff w:val="tab"/>
      <w:lvlText w:val="8.1"/>
      <w:lvlJc w:val="left"/>
      <w:pPr/>
      <w:rPr>
        <w:rFonts w:ascii="宋体" w:cs="宋体" w:hAnsi="宋体" w:eastAsia="宋体"/>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16">
    <w:multiLevelType w:val="multilevel"/>
    <w:lvl w:ilvl="0">
      <w:start w:val="1"/>
      <w:numFmt w:val="bullet"/>
      <w:suff w:val="tab"/>
      <w:lvlText w:val="8.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17">
    <w:multiLevelType w:val="multilevel"/>
    <w:styleLink w:val="List 5"/>
    <w:lvl w:ilvl="0">
      <w:start w:val="1"/>
      <w:numFmt w:val="bullet"/>
      <w:suff w:val="tab"/>
      <w:lvlText w:val="8.1"/>
      <w:lvlJc w:val="left"/>
      <w:pPr/>
      <w:rPr>
        <w:rFonts w:ascii="宋体" w:cs="宋体" w:hAnsi="宋体" w:eastAsia="宋体"/>
        <w:position w:val="0"/>
        <w:lang w:val="zh-TW" w:eastAsia="zh-TW"/>
      </w:rPr>
    </w:lvl>
    <w:lvl w:ilvl="1">
      <w:start w:val="1"/>
      <w:numFmt w:val="lowerLetter"/>
      <w:suff w:val="tab"/>
      <w:lvlText w:val="%2)"/>
      <w:lvlJc w:val="left"/>
      <w:pPr/>
      <w:rPr>
        <w:rFonts w:ascii="Times" w:cs="Times" w:hAnsi="Times" w:eastAsia="Times"/>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18">
    <w:multiLevelType w:val="multilevel"/>
    <w:lvl w:ilvl="0">
      <w:start w:val="1"/>
      <w:numFmt w:val="bullet"/>
      <w:suff w:val="tab"/>
      <w:lvlText w:val="8.2"/>
      <w:lvlJc w:val="left"/>
      <w:pPr/>
      <w:rPr>
        <w:rFonts w:ascii="宋体" w:cs="宋体" w:hAnsi="宋体" w:eastAsia="宋体"/>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19">
    <w:multiLevelType w:val="multilevel"/>
    <w:styleLink w:val="List 6"/>
    <w:lvl w:ilvl="0">
      <w:start w:val="1"/>
      <w:numFmt w:val="bullet"/>
      <w:suff w:val="tab"/>
      <w:lvlText w:val="8.2"/>
      <w:lvlJc w:val="left"/>
      <w:pPr/>
      <w:rPr>
        <w:rFonts w:ascii="宋体" w:cs="宋体" w:hAnsi="宋体" w:eastAsia="宋体"/>
        <w:position w:val="0"/>
        <w:lang w:val="zh-TW" w:eastAsia="zh-TW"/>
      </w:rPr>
    </w:lvl>
    <w:lvl w:ilvl="1">
      <w:start w:val="3"/>
      <w:numFmt w:val="lowerLetter"/>
      <w:suff w:val="tab"/>
      <w:lvlText w:val="%2)"/>
      <w:lvlJc w:val="left"/>
      <w:pPr/>
      <w:rPr>
        <w:rFonts w:ascii="Times" w:cs="Times" w:hAnsi="Times" w:eastAsia="Times"/>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20">
    <w:multiLevelType w:val="multilevel"/>
    <w:lvl w:ilvl="0">
      <w:start w:val="1"/>
      <w:numFmt w:val="decimal"/>
      <w:suff w:val="tab"/>
      <w:lvlText w:val="%1."/>
      <w:lvlJc w:val="left"/>
      <w:pPr/>
      <w:rPr>
        <w:rFonts w:ascii="宋体" w:cs="宋体" w:hAnsi="宋体" w:eastAsia="宋体"/>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abstractNum w:abstractNumId="21">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2">
    <w:multiLevelType w:val="multilevel"/>
    <w:styleLink w:val="List 7"/>
    <w:lvl w:ilvl="0">
      <w:start w:val="1"/>
      <w:numFmt w:val="decimal"/>
      <w:suff w:val="tab"/>
      <w:lvlText w:val="%1."/>
      <w:lvlJc w:val="left"/>
      <w:pPr/>
      <w:rPr>
        <w:rFonts w:ascii="Times" w:cs="Times" w:hAnsi="Times" w:eastAsia="Times"/>
        <w:position w:val="0"/>
        <w:lang w:val="zh-TW" w:eastAsia="zh-TW"/>
      </w:rPr>
    </w:lvl>
    <w:lvl w:ilvl="1">
      <w:start w:val="1"/>
      <w:numFmt w:val="lowerLetter"/>
      <w:suff w:val="tab"/>
      <w:lvlText w:val="%2)"/>
      <w:lvlJc w:val="left"/>
      <w:pPr/>
      <w:rPr>
        <w:rFonts w:ascii="宋体" w:cs="宋体" w:hAnsi="宋体" w:eastAsia="宋体"/>
        <w:position w:val="0"/>
        <w:lang w:val="zh-TW" w:eastAsia="zh-TW"/>
      </w:rPr>
    </w:lvl>
    <w:lvl w:ilvl="2">
      <w:start w:val="1"/>
      <w:numFmt w:val="lowerRoman"/>
      <w:suff w:val="tab"/>
      <w:lvlText w:val="%3."/>
      <w:lvlJc w:val="left"/>
      <w:pPr/>
      <w:rPr>
        <w:rFonts w:ascii="宋体" w:cs="宋体" w:hAnsi="宋体" w:eastAsia="宋体"/>
        <w:position w:val="0"/>
        <w:lang w:val="zh-TW" w:eastAsia="zh-TW"/>
      </w:rPr>
    </w:lvl>
    <w:lvl w:ilvl="3">
      <w:start w:val="1"/>
      <w:numFmt w:val="decimal"/>
      <w:suff w:val="tab"/>
      <w:lvlText w:val="%4."/>
      <w:lvlJc w:val="left"/>
      <w:pPr/>
      <w:rPr>
        <w:rFonts w:ascii="宋体" w:cs="宋体" w:hAnsi="宋体" w:eastAsia="宋体"/>
        <w:position w:val="0"/>
        <w:lang w:val="zh-TW" w:eastAsia="zh-TW"/>
      </w:rPr>
    </w:lvl>
    <w:lvl w:ilvl="4">
      <w:start w:val="1"/>
      <w:numFmt w:val="lowerLetter"/>
      <w:suff w:val="tab"/>
      <w:lvlText w:val="%5)"/>
      <w:lvlJc w:val="left"/>
      <w:pPr/>
      <w:rPr>
        <w:rFonts w:ascii="宋体" w:cs="宋体" w:hAnsi="宋体" w:eastAsia="宋体"/>
        <w:position w:val="0"/>
        <w:lang w:val="zh-TW" w:eastAsia="zh-TW"/>
      </w:rPr>
    </w:lvl>
    <w:lvl w:ilvl="5">
      <w:start w:val="1"/>
      <w:numFmt w:val="lowerRoman"/>
      <w:suff w:val="tab"/>
      <w:lvlText w:val="%6."/>
      <w:lvlJc w:val="left"/>
      <w:pPr/>
      <w:rPr>
        <w:rFonts w:ascii="宋体" w:cs="宋体" w:hAnsi="宋体" w:eastAsia="宋体"/>
        <w:position w:val="0"/>
        <w:lang w:val="zh-TW" w:eastAsia="zh-TW"/>
      </w:rPr>
    </w:lvl>
    <w:lvl w:ilvl="6">
      <w:start w:val="1"/>
      <w:numFmt w:val="decimal"/>
      <w:suff w:val="tab"/>
      <w:lvlText w:val="%7."/>
      <w:lvlJc w:val="left"/>
      <w:pPr/>
      <w:rPr>
        <w:rFonts w:ascii="宋体" w:cs="宋体" w:hAnsi="宋体" w:eastAsia="宋体"/>
        <w:position w:val="0"/>
        <w:lang w:val="zh-TW" w:eastAsia="zh-TW"/>
      </w:rPr>
    </w:lvl>
    <w:lvl w:ilvl="7">
      <w:start w:val="1"/>
      <w:numFmt w:val="lowerLetter"/>
      <w:suff w:val="tab"/>
      <w:lvlText w:val="%8)"/>
      <w:lvlJc w:val="left"/>
      <w:pPr/>
      <w:rPr>
        <w:rFonts w:ascii="宋体" w:cs="宋体" w:hAnsi="宋体" w:eastAsia="宋体"/>
        <w:position w:val="0"/>
        <w:lang w:val="zh-TW" w:eastAsia="zh-TW"/>
      </w:rPr>
    </w:lvl>
    <w:lvl w:ilvl="8">
      <w:start w:val="1"/>
      <w:numFmt w:val="lowerRoman"/>
      <w:suff w:val="tab"/>
      <w:lvlText w:val="%9."/>
      <w:lvlJc w:val="left"/>
      <w:pPr/>
      <w:rPr>
        <w:rFonts w:ascii="宋体" w:cs="宋体" w:hAnsi="宋体" w:eastAsia="宋体"/>
        <w:position w:val="0"/>
        <w:lang w:val="zh-TW" w:eastAsia="zh-TW"/>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4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0"/>
      <w:shd w:val="clear" w:color="auto" w:fill="auto"/>
      <w:suppressAutoHyphens w:val="0"/>
      <w:bidi w:val="0"/>
      <w:spacing w:before="0" w:after="0" w:line="240" w:lineRule="auto"/>
      <w:ind w:left="0" w:right="0" w:firstLine="0"/>
      <w:jc w:val="both"/>
      <w:outlineLvl w:val="9"/>
    </w:pPr>
    <w:rPr>
      <w:rFonts w:ascii="Calibri" w:cs="Calibri" w:hAnsi="Calibri" w:eastAsia="Calibri"/>
      <w:b w:val="0"/>
      <w:bCs w:val="0"/>
      <w:i w:val="0"/>
      <w:iCs w:val="0"/>
      <w:caps w:val="0"/>
      <w:smallCaps w:val="0"/>
      <w:strike w:val="0"/>
      <w:dstrike w:val="0"/>
      <w:outline w:val="0"/>
      <w:color w:val="000000"/>
      <w:spacing w:val="0"/>
      <w:kern w:val="2"/>
      <w:position w:val="0"/>
      <w:sz w:val="21"/>
      <w:szCs w:val="21"/>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页眉与页脚">
    <w:name w:val="页眉与页脚"/>
    <w:next w:val="页眉与页脚"/>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List Paragraph">
    <w:name w:val="List Paragraph"/>
    <w:next w:val="List Paragraph"/>
    <w:pPr>
      <w:keepNext w:val="0"/>
      <w:keepLines w:val="0"/>
      <w:pageBreakBefore w:val="0"/>
      <w:widowControl w:val="0"/>
      <w:shd w:val="clear" w:color="auto" w:fill="auto"/>
      <w:suppressAutoHyphens w:val="0"/>
      <w:bidi w:val="0"/>
      <w:spacing w:before="0" w:after="0" w:line="240" w:lineRule="auto"/>
      <w:ind w:left="0" w:right="0" w:firstLine="420"/>
      <w:jc w:val="both"/>
      <w:outlineLvl w:val="9"/>
    </w:pPr>
    <w:rPr>
      <w:rFonts w:ascii="Calibri" w:cs="Calibri" w:hAnsi="Calibri" w:eastAsia="Calibri"/>
      <w:b w:val="0"/>
      <w:bCs w:val="0"/>
      <w:i w:val="0"/>
      <w:iCs w:val="0"/>
      <w:caps w:val="0"/>
      <w:smallCaps w:val="0"/>
      <w:strike w:val="0"/>
      <w:dstrike w:val="0"/>
      <w:outline w:val="0"/>
      <w:color w:val="000000"/>
      <w:spacing w:val="0"/>
      <w:kern w:val="2"/>
      <w:position w:val="0"/>
      <w:sz w:val="21"/>
      <w:szCs w:val="21"/>
      <w:u w:val="none" w:color="000000"/>
      <w:vertAlign w:val="baseline"/>
      <w:lang w:val="en-US"/>
    </w:rPr>
  </w:style>
  <w:style w:type="numbering" w:styleId="List 0">
    <w:name w:val="List 0"/>
    <w:basedOn w:val="已导入的样式“1”"/>
    <w:next w:val="List 0"/>
    <w:pPr>
      <w:numPr>
        <w:numId w:val="1"/>
      </w:numPr>
    </w:pPr>
  </w:style>
  <w:style w:type="numbering" w:styleId="已导入的样式“1”">
    <w:name w:val="已导入的样式“1”"/>
    <w:next w:val="已导入的样式“1”"/>
    <w:pPr>
      <w:numPr>
        <w:numId w:val="2"/>
      </w:numPr>
    </w:pPr>
  </w:style>
  <w:style w:type="numbering" w:styleId="List 1">
    <w:name w:val="List 1"/>
    <w:basedOn w:val="已导入的样式“2”"/>
    <w:next w:val="List 1"/>
    <w:pPr>
      <w:numPr>
        <w:numId w:val="4"/>
      </w:numPr>
    </w:pPr>
  </w:style>
  <w:style w:type="numbering" w:styleId="已导入的样式“2”">
    <w:name w:val="已导入的样式“2”"/>
    <w:next w:val="已导入的样式“2”"/>
    <w:pPr>
      <w:numPr>
        <w:numId w:val="5"/>
      </w:numPr>
    </w:pPr>
  </w:style>
  <w:style w:type="numbering" w:styleId="List 2">
    <w:name w:val="List 2"/>
    <w:basedOn w:val="已导入的样式“3”"/>
    <w:next w:val="List 2"/>
    <w:pPr>
      <w:numPr>
        <w:numId w:val="7"/>
      </w:numPr>
    </w:pPr>
  </w:style>
  <w:style w:type="numbering" w:styleId="已导入的样式“3”">
    <w:name w:val="已导入的样式“3”"/>
    <w:next w:val="已导入的样式“3”"/>
    <w:pPr>
      <w:numPr>
        <w:numId w:val="8"/>
      </w:numPr>
    </w:pPr>
  </w:style>
  <w:style w:type="numbering" w:styleId="List 3">
    <w:name w:val="List 3"/>
    <w:basedOn w:val="已导入的样式“4”"/>
    <w:next w:val="List 3"/>
    <w:pPr>
      <w:numPr>
        <w:numId w:val="10"/>
      </w:numPr>
    </w:pPr>
  </w:style>
  <w:style w:type="numbering" w:styleId="已导入的样式“4”">
    <w:name w:val="已导入的样式“4”"/>
    <w:next w:val="已导入的样式“4”"/>
    <w:pPr>
      <w:numPr>
        <w:numId w:val="11"/>
      </w:numPr>
    </w:pPr>
  </w:style>
  <w:style w:type="numbering" w:styleId="List 4">
    <w:name w:val="List 4"/>
    <w:basedOn w:val="已导入的样式“5”"/>
    <w:next w:val="List 4"/>
    <w:pPr>
      <w:numPr>
        <w:numId w:val="13"/>
      </w:numPr>
    </w:pPr>
  </w:style>
  <w:style w:type="numbering" w:styleId="已导入的样式“5”">
    <w:name w:val="已导入的样式“5”"/>
    <w:next w:val="已导入的样式“5”"/>
    <w:pPr>
      <w:numPr>
        <w:numId w:val="14"/>
      </w:numPr>
    </w:pPr>
  </w:style>
  <w:style w:type="numbering" w:styleId="List 5">
    <w:name w:val="List 5"/>
    <w:basedOn w:val="已导入的样式“6”"/>
    <w:next w:val="List 5"/>
    <w:pPr>
      <w:numPr>
        <w:numId w:val="16"/>
      </w:numPr>
    </w:pPr>
  </w:style>
  <w:style w:type="numbering" w:styleId="已导入的样式“6”">
    <w:name w:val="已导入的样式“6”"/>
    <w:next w:val="已导入的样式“6”"/>
    <w:pPr>
      <w:numPr>
        <w:numId w:val="17"/>
      </w:numPr>
    </w:pPr>
  </w:style>
  <w:style w:type="numbering" w:styleId="List 6">
    <w:name w:val="List 6"/>
    <w:basedOn w:val="已导入的样式“6”"/>
    <w:next w:val="List 6"/>
    <w:pPr>
      <w:numPr>
        <w:numId w:val="19"/>
      </w:numPr>
    </w:pPr>
  </w:style>
  <w:style w:type="numbering" w:styleId="List 7">
    <w:name w:val="List 7"/>
    <w:basedOn w:val="已导入的样式“7”"/>
    <w:next w:val="List 7"/>
    <w:pPr>
      <w:numPr>
        <w:numId w:val="21"/>
      </w:numPr>
    </w:pPr>
  </w:style>
  <w:style w:type="numbering" w:styleId="已导入的样式“7”">
    <w:name w:val="已导入的样式“7”"/>
    <w:next w:val="已导入的样式“7”"/>
    <w:pPr>
      <w:numPr>
        <w:numId w:val="2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